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583EF501" w14:textId="039A4F0D" w:rsidR="00997F82" w:rsidRPr="00BF4539" w:rsidRDefault="00BF4539" w:rsidP="00997F82">
      <w:pPr>
        <w:spacing w:after="0" w:line="240" w:lineRule="auto"/>
        <w:jc w:val="center"/>
        <w:rPr>
          <w:rFonts w:ascii="Arial" w:eastAsia="Times New Roman" w:hAnsi="Arial" w:cs="Arial"/>
          <w:b/>
          <w:bCs/>
          <w:i/>
          <w:iCs/>
          <w:sz w:val="28"/>
          <w:szCs w:val="20"/>
        </w:rPr>
      </w:pPr>
      <w:r w:rsidRPr="00BF4539">
        <w:rPr>
          <w:rFonts w:ascii="Arial" w:eastAsia="Times New Roman" w:hAnsi="Arial" w:cs="Arial"/>
          <w:b/>
          <w:bCs/>
          <w:i/>
          <w:iCs/>
          <w:sz w:val="28"/>
          <w:szCs w:val="20"/>
        </w:rPr>
        <w:t>Naše Považie</w:t>
      </w: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6390F592"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BF4539">
        <w:rPr>
          <w:rFonts w:ascii="Arial" w:eastAsia="Times New Roman" w:hAnsi="Arial" w:cs="Arial"/>
          <w:sz w:val="28"/>
          <w:szCs w:val="20"/>
        </w:rPr>
        <w:t>T714</w:t>
      </w:r>
      <w:r w:rsidRPr="00C13613">
        <w:rPr>
          <w:rFonts w:ascii="Arial" w:eastAsia="Times New Roman" w:hAnsi="Arial" w:cs="Arial"/>
          <w:sz w:val="28"/>
          <w:szCs w:val="20"/>
        </w:rPr>
        <w:t>-</w:t>
      </w:r>
      <w:r w:rsidR="00BF4539">
        <w:rPr>
          <w:rFonts w:ascii="Arial" w:eastAsia="Times New Roman" w:hAnsi="Arial" w:cs="Arial"/>
          <w:sz w:val="28"/>
          <w:szCs w:val="20"/>
        </w:rPr>
        <w:t>512</w:t>
      </w:r>
      <w:r w:rsidRPr="00C13613">
        <w:rPr>
          <w:rFonts w:ascii="Arial" w:eastAsia="Times New Roman" w:hAnsi="Arial" w:cs="Arial"/>
          <w:sz w:val="28"/>
          <w:szCs w:val="20"/>
        </w:rPr>
        <w:t>-</w:t>
      </w:r>
      <w:r w:rsidR="00BF4539">
        <w:rPr>
          <w:rFonts w:ascii="Arial" w:eastAsia="Times New Roman" w:hAnsi="Arial" w:cs="Arial"/>
          <w:sz w:val="28"/>
          <w:szCs w:val="20"/>
        </w:rPr>
        <w:t>003</w:t>
      </w:r>
    </w:p>
    <w:p w14:paraId="7A0D249B" w14:textId="77777777" w:rsidR="00997F82" w:rsidRDefault="00997F82" w:rsidP="00997F82">
      <w:pPr>
        <w:rPr>
          <w:rFonts w:ascii="Arial" w:eastAsia="Times New Roman" w:hAnsi="Arial" w:cs="Arial"/>
          <w:b/>
          <w:sz w:val="28"/>
          <w:szCs w:val="20"/>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8CBB44D"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BF4539">
            <w:rPr>
              <w:rFonts w:ascii="Arial" w:hAnsi="Arial" w:cs="Arial"/>
              <w:b/>
              <w:sz w:val="22"/>
            </w:rPr>
            <w:t>5.1.2 Zlepšenie udržateľných vzťahov medzi vidieckymi rozvojovými centrami a ich zázemím vo verejných službách a vo verejných infraštruktúrach</w:t>
          </w:r>
        </w:sdtContent>
      </w:sdt>
    </w:p>
    <w:p w14:paraId="266737C6" w14:textId="37E9623D"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BF4539">
            <w:rPr>
              <w:rFonts w:ascii="Arial" w:hAnsi="Arial" w:cs="Arial"/>
              <w:sz w:val="22"/>
            </w:rPr>
            <w:t>B1 Investície do cyklistických trás a súvisiacej podpornej infraštruktúry</w:t>
          </w:r>
        </w:sdtContent>
      </w:sdt>
    </w:p>
    <w:p w14:paraId="60D37D52" w14:textId="3A9383EE"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BF4539">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5FAEF54"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F4539">
        <w:rPr>
          <w:rFonts w:ascii="Arial" w:hAnsi="Arial" w:cs="Arial"/>
          <w:sz w:val="22"/>
        </w:rPr>
        <w:t>Naše Považie</w:t>
      </w:r>
      <w:r w:rsidRPr="00B50BAE">
        <w:rPr>
          <w:rFonts w:ascii="Arial" w:hAnsi="Arial" w:cs="Arial"/>
          <w:sz w:val="22"/>
        </w:rPr>
        <w:t xml:space="preserve"> </w:t>
      </w:r>
    </w:p>
    <w:p w14:paraId="3DB92461" w14:textId="3635F0FF" w:rsidR="00997F82" w:rsidRPr="00B50BAE" w:rsidRDefault="00997F82" w:rsidP="00BF4539">
      <w:pPr>
        <w:tabs>
          <w:tab w:val="left" w:pos="1418"/>
        </w:tabs>
        <w:spacing w:before="120" w:after="0" w:line="240" w:lineRule="auto"/>
        <w:rPr>
          <w:rFonts w:ascii="Arial" w:hAnsi="Arial" w:cs="Arial"/>
          <w:i/>
          <w:sz w:val="22"/>
          <w:highlight w:val="yellow"/>
        </w:rPr>
      </w:pPr>
      <w:r w:rsidRPr="00B50BAE">
        <w:rPr>
          <w:rFonts w:ascii="Arial" w:hAnsi="Arial" w:cs="Arial"/>
          <w:sz w:val="22"/>
        </w:rPr>
        <w:t>Sídlo:</w:t>
      </w:r>
      <w:r w:rsidRPr="00B50BAE">
        <w:rPr>
          <w:rFonts w:ascii="Arial" w:hAnsi="Arial" w:cs="Arial"/>
          <w:sz w:val="22"/>
        </w:rPr>
        <w:tab/>
      </w:r>
      <w:r w:rsidR="00BF4539" w:rsidRPr="00EF71A2">
        <w:rPr>
          <w:rFonts w:ascii="Arial" w:hAnsi="Arial" w:cs="Arial"/>
          <w:i/>
          <w:iCs/>
          <w:sz w:val="22"/>
        </w:rPr>
        <w:t>Štefánikova 821</w:t>
      </w:r>
      <w:r w:rsidR="00BF4539">
        <w:rPr>
          <w:rFonts w:ascii="Arial" w:hAnsi="Arial" w:cs="Arial"/>
          <w:i/>
          <w:iCs/>
          <w:sz w:val="22"/>
        </w:rPr>
        <w:t>, 020 01 Púchov</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4B1E943D"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2-01-25T00:00:00Z">
            <w:dateFormat w:val="d. M. yyyy"/>
            <w:lid w:val="sk-SK"/>
            <w:storeMappedDataAs w:val="dateTime"/>
            <w:calendar w:val="gregorian"/>
          </w:date>
        </w:sdtPr>
        <w:sdtEndPr/>
        <w:sdtContent>
          <w:r w:rsidR="00F5454F">
            <w:rPr>
              <w:rFonts w:ascii="Arial" w:hAnsi="Arial" w:cs="Arial"/>
              <w:sz w:val="22"/>
            </w:rPr>
            <w:t>25. 1. 2022</w:t>
          </w:r>
        </w:sdtContent>
      </w:sdt>
    </w:p>
    <w:p w14:paraId="532ABE8D" w14:textId="6DFE214D"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BF4539" w:rsidRPr="00A3072B">
          <w:rPr>
            <w:rStyle w:val="Hypertextovprepojenie"/>
            <w:rFonts w:cs="Arial"/>
            <w:sz w:val="22"/>
          </w:rPr>
          <w:t>https://nasepovazie.sk/sk/stranka/-vyzvy-na-predkladanie-zopr-pre-cast-irop-2014---2020</w:t>
        </w:r>
      </w:hyperlink>
      <w:r w:rsidR="00BF4539">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6D403B60"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BF4539">
        <w:rPr>
          <w:rFonts w:ascii="Arial" w:hAnsi="Arial" w:cs="Arial"/>
          <w:b/>
          <w:sz w:val="22"/>
        </w:rPr>
        <w:t xml:space="preserve">50 000,00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624E4CBD"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14E91">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E14E91">
        <w:rPr>
          <w:rFonts w:ascii="Arial" w:hAnsi="Arial" w:cs="Arial"/>
          <w:sz w:val="22"/>
        </w:rPr>
        <w:t xml:space="preserve">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D6ADC26" w14:textId="012312AE"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predfinancovani</w:t>
      </w:r>
      <w:r w:rsidR="005F0F78">
        <w:rPr>
          <w:rFonts w:ascii="Arial" w:hAnsi="Arial" w:cs="Arial"/>
          <w:sz w:val="22"/>
        </w:rPr>
        <w:t>a</w:t>
      </w:r>
      <w:r w:rsidRPr="00D01EF0">
        <w:rPr>
          <w:rFonts w:ascii="Arial" w:hAnsi="Arial" w:cs="Arial"/>
          <w:sz w:val="22"/>
        </w:rPr>
        <w:t xml:space="preserve"> je oprávnený využiť </w:t>
      </w:r>
      <w:r w:rsidR="000249C7">
        <w:rPr>
          <w:rFonts w:ascii="Arial" w:hAnsi="Arial" w:cs="Arial"/>
          <w:sz w:val="22"/>
        </w:rPr>
        <w:t>každý oprávnený žiadateľ.</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244EFECA" w:rsidR="00997F82" w:rsidRDefault="00C05405" w:rsidP="00016DEA">
            <w:pPr>
              <w:spacing w:before="60" w:after="60" w:line="240" w:lineRule="auto"/>
              <w:jc w:val="center"/>
              <w:outlineLvl w:val="0"/>
              <w:rPr>
                <w:rFonts w:ascii="Arial" w:hAnsi="Arial" w:cs="Arial"/>
                <w:sz w:val="20"/>
                <w:szCs w:val="20"/>
              </w:rPr>
            </w:pPr>
            <w:r>
              <w:rPr>
                <w:rFonts w:ascii="Arial" w:hAnsi="Arial" w:cs="Arial"/>
                <w:sz w:val="20"/>
                <w:szCs w:val="20"/>
              </w:rPr>
              <w:t>2</w:t>
            </w:r>
            <w:r w:rsidR="007A24BB">
              <w:rPr>
                <w:rFonts w:ascii="Arial" w:hAnsi="Arial" w:cs="Arial"/>
                <w:sz w:val="20"/>
                <w:szCs w:val="20"/>
              </w:rPr>
              <w:t>0.0</w:t>
            </w:r>
            <w:r>
              <w:rPr>
                <w:rFonts w:ascii="Arial" w:hAnsi="Arial" w:cs="Arial"/>
                <w:sz w:val="20"/>
                <w:szCs w:val="20"/>
              </w:rPr>
              <w:t>3</w:t>
            </w:r>
            <w:r w:rsidR="007A24BB">
              <w:rPr>
                <w:rFonts w:ascii="Arial" w:hAnsi="Arial" w:cs="Arial"/>
                <w:sz w:val="20"/>
                <w:szCs w:val="20"/>
              </w:rPr>
              <w:t>.2022</w:t>
            </w:r>
          </w:p>
        </w:tc>
        <w:tc>
          <w:tcPr>
            <w:tcW w:w="3070" w:type="dxa"/>
            <w:vAlign w:val="center"/>
          </w:tcPr>
          <w:p w14:paraId="7FB5A443" w14:textId="0B138DCF" w:rsidR="00997F82" w:rsidRDefault="00C05405" w:rsidP="00016DEA">
            <w:pPr>
              <w:spacing w:before="60" w:after="60" w:line="240" w:lineRule="auto"/>
              <w:jc w:val="center"/>
              <w:outlineLvl w:val="0"/>
              <w:rPr>
                <w:rFonts w:ascii="Arial" w:hAnsi="Arial" w:cs="Arial"/>
                <w:sz w:val="20"/>
                <w:szCs w:val="20"/>
              </w:rPr>
            </w:pPr>
            <w:r>
              <w:rPr>
                <w:rFonts w:ascii="Arial" w:hAnsi="Arial" w:cs="Arial"/>
                <w:sz w:val="20"/>
                <w:szCs w:val="20"/>
              </w:rPr>
              <w:t>2</w:t>
            </w:r>
            <w:r w:rsidR="007A24BB">
              <w:rPr>
                <w:rFonts w:ascii="Arial" w:hAnsi="Arial" w:cs="Arial"/>
                <w:sz w:val="20"/>
                <w:szCs w:val="20"/>
              </w:rPr>
              <w:t>0.0</w:t>
            </w:r>
            <w:r>
              <w:rPr>
                <w:rFonts w:ascii="Arial" w:hAnsi="Arial" w:cs="Arial"/>
                <w:sz w:val="20"/>
                <w:szCs w:val="20"/>
              </w:rPr>
              <w:t>4</w:t>
            </w:r>
            <w:r w:rsidR="007A24BB">
              <w:rPr>
                <w:rFonts w:ascii="Arial" w:hAnsi="Arial" w:cs="Arial"/>
                <w:sz w:val="20"/>
                <w:szCs w:val="20"/>
              </w:rPr>
              <w:t>.2022</w:t>
            </w:r>
          </w:p>
        </w:tc>
        <w:tc>
          <w:tcPr>
            <w:tcW w:w="3494" w:type="dxa"/>
          </w:tcPr>
          <w:p w14:paraId="766B9373" w14:textId="4C1BC7E6"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7A24BB">
              <w:rPr>
                <w:rFonts w:ascii="Arial" w:hAnsi="Arial" w:cs="Arial"/>
                <w:sz w:val="20"/>
                <w:szCs w:val="20"/>
              </w:rPr>
              <w:t>1</w:t>
            </w:r>
            <w:r>
              <w:rPr>
                <w:rFonts w:ascii="Arial" w:hAnsi="Arial" w:cs="Arial"/>
                <w:sz w:val="20"/>
                <w:szCs w:val="20"/>
              </w:rPr>
              <w:t xml:space="preserve"> mesiac</w:t>
            </w:r>
            <w:r w:rsidR="007A24BB">
              <w:rPr>
                <w:rFonts w:ascii="Arial" w:hAnsi="Arial" w:cs="Arial"/>
                <w:sz w:val="20"/>
                <w:szCs w:val="20"/>
              </w:rPr>
              <w:t>a</w:t>
            </w:r>
            <w:r>
              <w:rPr>
                <w:rFonts w:ascii="Arial" w:hAnsi="Arial" w:cs="Arial"/>
                <w:sz w:val="20"/>
                <w:szCs w:val="20"/>
              </w:rPr>
              <w:t xml:space="preserve"> od predchádzajúceho hodnotiaceho kola a to vždy k</w:t>
            </w:r>
            <w:r w:rsidR="007A24BB">
              <w:rPr>
                <w:rFonts w:ascii="Arial" w:hAnsi="Arial" w:cs="Arial"/>
                <w:sz w:val="20"/>
                <w:szCs w:val="20"/>
              </w:rPr>
              <w:t> </w:t>
            </w:r>
            <w:r w:rsidR="00C05405">
              <w:rPr>
                <w:rFonts w:ascii="Arial" w:hAnsi="Arial" w:cs="Arial"/>
                <w:sz w:val="20"/>
                <w:szCs w:val="20"/>
              </w:rPr>
              <w:t>2</w:t>
            </w:r>
            <w:r w:rsidR="007A24BB">
              <w:rPr>
                <w:rFonts w:ascii="Arial" w:hAnsi="Arial" w:cs="Arial"/>
                <w:sz w:val="20"/>
                <w:szCs w:val="20"/>
              </w:rPr>
              <w:t>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3687751E"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overí informácie na webovom sídle </w:t>
            </w:r>
            <w:hyperlink r:id="rId10" w:history="1">
              <w:r w:rsidRPr="00C63476">
                <w:rPr>
                  <w:rStyle w:val="Hypertextovprepojenie"/>
                  <w:rFonts w:cs="Arial"/>
                  <w:bCs/>
                  <w:sz w:val="20"/>
                  <w:szCs w:val="20"/>
                </w:rPr>
                <w:t>https://rpo.statistics.sk</w:t>
              </w:r>
            </w:hyperlink>
          </w:p>
          <w:p w14:paraId="05EDAFEB" w14:textId="7490EB3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690B3E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511EB236" w14:textId="0BF3AD1D" w:rsidR="00997F82" w:rsidRPr="00D33B30" w:rsidRDefault="00997F82" w:rsidP="00E922AD">
            <w:pPr>
              <w:pStyle w:val="Textkomentra"/>
              <w:spacing w:before="120" w:after="120"/>
              <w:ind w:left="85" w:right="85"/>
              <w:jc w:val="both"/>
              <w:rPr>
                <w:rFonts w:ascii="Arial" w:hAnsi="Arial" w:cs="Arial"/>
                <w:bCs/>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2"/>
          <w:p w14:paraId="3D0F6A91" w14:textId="4F4C54A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0CE0E012"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w:t>
            </w:r>
            <w:r w:rsidR="001D0D58">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2A00CD6F"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6EB33DC0"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00B6341A">
              <w:rPr>
                <w:rFonts w:ascii="Arial" w:hAnsi="Arial" w:cs="Arial"/>
                <w:bCs/>
                <w:sz w:val="20"/>
                <w:szCs w:val="20"/>
              </w:rPr>
              <w:t>,</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2B297DCD"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5FBB5B2F"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2B5318AD"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1D0D58">
                  <w:rPr>
                    <w:rFonts w:ascii="Arial" w:hAnsi="Arial" w:cs="Arial"/>
                    <w:sz w:val="22"/>
                  </w:rPr>
                  <w:t>B1 Investície do cyklistických trás a súvisiacej podpornej infraštruktúry</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0B01E6E1"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05B7B24B"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3814F9">
              <w:rPr>
                <w:rFonts w:ascii="Arial" w:hAnsi="Arial" w:cs="Arial"/>
                <w:bCs/>
                <w:sz w:val="20"/>
                <w:szCs w:val="20"/>
              </w:rPr>
              <w:t> </w:t>
            </w:r>
            <w:r>
              <w:rPr>
                <w:rFonts w:ascii="Arial" w:hAnsi="Arial" w:cs="Arial"/>
                <w:bCs/>
                <w:sz w:val="20"/>
                <w:szCs w:val="20"/>
              </w:rPr>
              <w:t>príspevku.</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2"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33F9087"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68988E77"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3941ED61"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r w:rsidR="003814F9">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313C7855"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w:t>
            </w:r>
            <w:r w:rsidR="003814F9">
              <w:rPr>
                <w:rFonts w:ascii="Arial" w:hAnsi="Arial" w:cs="Arial"/>
                <w:bCs/>
                <w:sz w:val="20"/>
                <w:szCs w:val="20"/>
              </w:rPr>
              <w:t> </w:t>
            </w:r>
            <w:r w:rsidRPr="001F15D0">
              <w:rPr>
                <w:rFonts w:ascii="Arial" w:hAnsi="Arial" w:cs="Arial"/>
                <w:bCs/>
                <w:sz w:val="20"/>
                <w:szCs w:val="20"/>
              </w:rPr>
              <w:t>príspevku.</w:t>
            </w:r>
          </w:p>
          <w:bookmarkEnd w:id="4"/>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EC4991A" w14:textId="01D51733" w:rsidR="00B6341A"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1122AC">
              <w:rPr>
                <w:rFonts w:ascii="Arial" w:hAnsi="Arial" w:cs="Arial"/>
                <w:bCs/>
                <w:sz w:val="20"/>
                <w:szCs w:val="20"/>
              </w:rPr>
              <w:t xml:space="preserve">, ktoré tvoria nasledovné obce: </w:t>
            </w:r>
            <w:r w:rsidR="001122AC" w:rsidRPr="00C73D38">
              <w:rPr>
                <w:rFonts w:ascii="Arial" w:hAnsi="Arial" w:cs="Arial"/>
                <w:sz w:val="20"/>
                <w:szCs w:val="20"/>
              </w:rPr>
              <w:t xml:space="preserve">Beluša, Bodiná, Brvnište, Čelkova Lehota, Dohňany, Dolná Breznica, Dolná Mariková, Dolné Kočkovce, Dolný Lieskov, Domaniža, Ďurďové, Hatné, Horná Breznica, Horná Mariková, Horný Lieskov, Horovce, Jasenica, Klieština, Kostolec, Kvašov, Lazy pod Makytou, Lednica, Lednické Rovne, Lúky, Lysá pod Makytou, Malé Lednice, Mestečko, Mojtín, Nimnica, Papradno, Plevník- Drienové, Počarová, Podskalie, Prečín, Pružina, Púchov, Sádočné, Slopná, Streženice, Stupné, Sverepec, Udiča, Visolaje, Vrchteplá, Vydrná, Záriečie, Záskalie, </w:t>
            </w:r>
            <w:r w:rsidR="001122AC" w:rsidRPr="001122AC">
              <w:rPr>
                <w:rFonts w:ascii="Arial" w:hAnsi="Arial" w:cs="Arial"/>
                <w:sz w:val="20"/>
                <w:szCs w:val="20"/>
              </w:rPr>
              <w:t>Zubák</w:t>
            </w:r>
            <w:r>
              <w:rPr>
                <w:rFonts w:ascii="Arial" w:hAnsi="Arial" w:cs="Arial"/>
                <w:bCs/>
                <w:sz w:val="20"/>
                <w:szCs w:val="20"/>
              </w:rPr>
              <w:t>.</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lastRenderedPageBreak/>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5C247619"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4D3199">
              <w:rPr>
                <w:rFonts w:ascii="Arial" w:hAnsi="Arial" w:cs="Arial"/>
                <w:bCs/>
                <w:sz w:val="20"/>
                <w:szCs w:val="20"/>
              </w:rPr>
              <w:t>19</w:t>
            </w:r>
            <w:r w:rsidRPr="00AC73D7">
              <w:rPr>
                <w:rFonts w:ascii="Arial" w:hAnsi="Arial" w:cs="Arial"/>
                <w:bCs/>
                <w:sz w:val="20"/>
                <w:szCs w:val="20"/>
              </w:rPr>
              <w:t xml:space="preserve">).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486B34" w:rsidP="00687273">
            <w:pPr>
              <w:pStyle w:val="Odsekzoznamu"/>
              <w:spacing w:before="120" w:after="120" w:line="240" w:lineRule="auto"/>
              <w:ind w:left="85" w:right="85"/>
              <w:contextualSpacing w:val="0"/>
              <w:jc w:val="both"/>
              <w:rPr>
                <w:rFonts w:ascii="Arial" w:hAnsi="Arial" w:cs="Arial"/>
                <w:bCs/>
                <w:sz w:val="20"/>
                <w:szCs w:val="20"/>
              </w:rPr>
            </w:pPr>
            <w:hyperlink r:id="rId13"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lastRenderedPageBreak/>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59560469" w14:textId="5927FC82"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ex-ante,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w:t>
            </w:r>
            <w:r w:rsidRPr="00732429">
              <w:rPr>
                <w:rFonts w:ascii="Arial" w:hAnsi="Arial" w:cs="Arial"/>
                <w:sz w:val="20"/>
                <w:szCs w:val="20"/>
                <w:lang w:eastAsia="en-US"/>
              </w:rPr>
              <w:t xml:space="preserve">pomoc (pomoc de minimis), </w:t>
            </w:r>
            <w:r w:rsidRPr="00E922AD">
              <w:rPr>
                <w:rFonts w:ascii="Arial" w:hAnsi="Arial" w:cs="Arial"/>
                <w:sz w:val="20"/>
                <w:szCs w:val="20"/>
                <w:lang w:eastAsia="en-US"/>
              </w:rPr>
              <w:t>nesie za svoje konanie plnú právnu zodpovednosť v súvislosti s porušením pravidiel týkajúcich sa štátnej pomoci (pomoci d</w:t>
            </w:r>
            <w:r w:rsidRPr="00ED17B7">
              <w:rPr>
                <w:rFonts w:ascii="Arial" w:hAnsi="Arial" w:cs="Arial"/>
                <w:sz w:val="20"/>
                <w:szCs w:val="20"/>
                <w:lang w:eastAsia="en-US"/>
              </w:rPr>
              <w:t>e minimis).</w:t>
            </w:r>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 xml:space="preserve">poskytnutiu, tzv. nepriamej štátnej pomoci alebo k poskytnutiu inej formy výhody, ktorá na základe Zmluvy </w:t>
            </w:r>
            <w:r w:rsidRPr="00EE0748">
              <w:rPr>
                <w:rFonts w:ascii="Arial" w:hAnsi="Arial" w:cs="Arial"/>
                <w:sz w:val="20"/>
                <w:szCs w:val="20"/>
                <w:lang w:eastAsia="en-US"/>
              </w:rPr>
              <w:lastRenderedPageBreak/>
              <w:t>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4"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486B34"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5"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32401FA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110B266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t>Podmienka mať povolenia na realizáciu aktivít projektu</w:t>
            </w:r>
            <w:bookmarkEnd w:id="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71385FE"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FF720C">
              <w:rPr>
                <w:rFonts w:ascii="Arial" w:hAnsi="Arial" w:cs="Arial"/>
                <w:sz w:val="20"/>
                <w:szCs w:val="20"/>
                <w:lang w:eastAsia="en-US"/>
              </w:rPr>
              <w:t>5</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01C3A88"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FF720C">
              <w:rPr>
                <w:rFonts w:ascii="Arial" w:hAnsi="Arial" w:cs="Arial"/>
                <w:bCs/>
                <w:sz w:val="20"/>
                <w:szCs w:val="20"/>
              </w:rPr>
              <w:t xml:space="preserve">5 000,00 </w:t>
            </w:r>
            <w:r>
              <w:rPr>
                <w:rFonts w:ascii="Arial" w:hAnsi="Arial" w:cs="Arial"/>
                <w:bCs/>
                <w:sz w:val="20"/>
                <w:szCs w:val="20"/>
              </w:rPr>
              <w:t>EUR</w:t>
            </w:r>
          </w:p>
          <w:p w14:paraId="582FBBB1" w14:textId="68DDF0EA"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FF720C">
              <w:rPr>
                <w:rFonts w:ascii="Arial" w:hAnsi="Arial" w:cs="Arial"/>
                <w:bCs/>
                <w:sz w:val="20"/>
                <w:szCs w:val="20"/>
              </w:rPr>
              <w:t xml:space="preserve">50 000,00 </w:t>
            </w:r>
            <w:r>
              <w:rPr>
                <w:rFonts w:ascii="Arial" w:hAnsi="Arial" w:cs="Arial"/>
                <w:bCs/>
                <w:sz w:val="20"/>
                <w:szCs w:val="20"/>
              </w:rPr>
              <w:t xml:space="preserve">EUR </w:t>
            </w:r>
          </w:p>
          <w:p w14:paraId="4D57D342" w14:textId="0C325434" w:rsidR="00997F82" w:rsidRDefault="00703EE0"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w:t>
            </w:r>
            <w:r w:rsidR="00997F82" w:rsidRPr="00971A5F">
              <w:rPr>
                <w:rFonts w:ascii="Arial" w:hAnsi="Arial" w:cs="Arial"/>
                <w:b/>
                <w:bCs/>
                <w:sz w:val="20"/>
                <w:szCs w:val="20"/>
              </w:rPr>
              <w:t>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2E6654EE"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2"/>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0DC4851" w14:textId="7C5E14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8"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8"/>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9"/>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D96957">
        <w:trPr>
          <w:trHeight w:val="4542"/>
        </w:trPr>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5AA7E90" w:rsidR="00997F82" w:rsidRPr="002C3A60" w:rsidRDefault="00997F82" w:rsidP="00D96957">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V rámci tejto prílohy ŽoPr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6"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6564EBF9" w14:textId="3325C6EA"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7B3FCB63"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FF720C" w:rsidRPr="00FF720C">
              <w:rPr>
                <w:rFonts w:ascii="Arial" w:hAnsi="Arial" w:cs="Arial"/>
                <w:bCs/>
                <w:sz w:val="20"/>
                <w:szCs w:val="20"/>
              </w:rPr>
              <w:t>IROP-CLLD-T714-512-003</w:t>
            </w:r>
            <w:r>
              <w:rPr>
                <w:rFonts w:ascii="Arial" w:hAnsi="Arial" w:cs="Arial"/>
                <w:bCs/>
                <w:sz w:val="20"/>
                <w:szCs w:val="20"/>
              </w:rPr>
              <w:t>, alebo označenie príslušnej Aktivity z Konceptu stratégie CLLD MAS.</w:t>
            </w:r>
          </w:p>
          <w:p w14:paraId="22872FB4" w14:textId="6018D99D"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065EC6F4"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lastRenderedPageBreak/>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lastRenderedPageBreak/>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44AACF18"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933AE6">
              <w:rPr>
                <w:rFonts w:ascii="Arial" w:hAnsi="Arial" w:cs="Arial"/>
                <w:bCs/>
                <w:sz w:val="20"/>
                <w:szCs w:val="20"/>
              </w:rPr>
              <w:t>7</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w:t>
            </w:r>
            <w:r w:rsidR="000C25C2">
              <w:rPr>
                <w:rFonts w:ascii="Arial" w:hAnsi="Arial" w:cs="Arial"/>
                <w:bCs/>
                <w:sz w:val="20"/>
                <w:szCs w:val="20"/>
              </w:rPr>
              <w:t> </w:t>
            </w:r>
            <w:r w:rsidRPr="00835223">
              <w:rPr>
                <w:rFonts w:ascii="Arial" w:hAnsi="Arial" w:cs="Arial"/>
                <w:bCs/>
                <w:sz w:val="20"/>
                <w:szCs w:val="20"/>
              </w:rPr>
              <w:t>príspevku), je potrebné, aby zmluvy s dodávateľom nenadobudli účinnosť pred účinnosťou zmluvy o</w:t>
            </w:r>
            <w:r w:rsidR="000C25C2">
              <w:rPr>
                <w:rFonts w:ascii="Arial" w:hAnsi="Arial" w:cs="Arial"/>
                <w:bCs/>
                <w:sz w:val="20"/>
                <w:szCs w:val="20"/>
              </w:rPr>
              <w:t> </w:t>
            </w:r>
            <w:r w:rsidRPr="00835223">
              <w:rPr>
                <w:rFonts w:ascii="Arial" w:hAnsi="Arial" w:cs="Arial"/>
                <w:bCs/>
                <w:sz w:val="20"/>
                <w:szCs w:val="20"/>
              </w:rPr>
              <w:t>príspevku (preto odporúčame naviazať účinnosť zmluvy s dodávateľom napr. na účinnosť zmluvy o</w:t>
            </w:r>
            <w:r w:rsidR="000C25C2">
              <w:rPr>
                <w:rFonts w:ascii="Arial" w:hAnsi="Arial" w:cs="Arial"/>
                <w:bCs/>
                <w:sz w:val="20"/>
                <w:szCs w:val="20"/>
              </w:rPr>
              <w:t> </w:t>
            </w:r>
            <w:r w:rsidRPr="00835223">
              <w:rPr>
                <w:rFonts w:ascii="Arial" w:hAnsi="Arial" w:cs="Arial"/>
                <w:bCs/>
                <w:sz w:val="20"/>
                <w:szCs w:val="20"/>
              </w:rPr>
              <w:t>príspevkualebo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w:t>
            </w:r>
            <w:r w:rsidR="000C25C2">
              <w:rPr>
                <w:rFonts w:ascii="Arial" w:hAnsi="Arial" w:cs="Arial"/>
                <w:bCs/>
                <w:sz w:val="20"/>
                <w:szCs w:val="20"/>
              </w:rPr>
              <w:t> </w:t>
            </w:r>
            <w:r w:rsidRPr="00835223">
              <w:rPr>
                <w:rFonts w:ascii="Arial" w:hAnsi="Arial" w:cs="Arial"/>
                <w:bCs/>
                <w:sz w:val="20"/>
                <w:szCs w:val="20"/>
              </w:rPr>
              <w:t>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17"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lastRenderedPageBreak/>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18"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8B79C72"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933AE6" w:rsidDel="00933AE6">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6623F0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w:t>
            </w:r>
          </w:p>
          <w:p w14:paraId="0F34D686" w14:textId="5A37BB70"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19"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695442DD" w14:textId="0B5239C5" w:rsidR="00D05CF5" w:rsidRDefault="00D05CF5" w:rsidP="00065CC5">
            <w:pPr>
              <w:pStyle w:val="Default"/>
              <w:ind w:left="25"/>
              <w:jc w:val="both"/>
              <w:rPr>
                <w:bCs/>
                <w:szCs w:val="20"/>
              </w:rPr>
            </w:pPr>
          </w:p>
          <w:p w14:paraId="5A6EE41E" w14:textId="627C7594" w:rsidR="00997F82" w:rsidRDefault="00997F82" w:rsidP="00D96957">
            <w:pPr>
              <w:pStyle w:val="Default"/>
              <w:ind w:left="25"/>
              <w:jc w:val="both"/>
              <w:rPr>
                <w:b/>
                <w:bCs/>
                <w:szCs w:val="20"/>
              </w:rPr>
            </w:pPr>
            <w:r w:rsidRPr="002C3A60">
              <w:rPr>
                <w:b/>
                <w:bCs/>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144289B3"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4167A451"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0"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V rámci tejto prílohy ŽoPr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12DEBDAC"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6EF0A015" w14:textId="77777777" w:rsidR="007D58CE" w:rsidRDefault="007D58CE" w:rsidP="004B6729">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p w14:paraId="36AEF394" w14:textId="3659BCFC" w:rsidR="00CB08D8" w:rsidRPr="00D01EF0" w:rsidRDefault="00CB08D8" w:rsidP="006F5281">
            <w:pPr>
              <w:pStyle w:val="Odsekzoznamu"/>
              <w:spacing w:before="240" w:after="120" w:line="240" w:lineRule="auto"/>
              <w:ind w:left="142" w:right="85"/>
              <w:contextualSpacing w:val="0"/>
              <w:jc w:val="both"/>
              <w:rPr>
                <w:rFonts w:ascii="Arial" w:hAnsi="Arial" w:cs="Arial"/>
                <w:bCs/>
                <w:sz w:val="20"/>
                <w:szCs w:val="20"/>
              </w:rPr>
            </w:pP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 xml:space="preserve">do 31.12.2014, je žiadateľ v prípade, ak bolo rozhodnuté o tom, že zmena navrhovanej činnosti </w:t>
            </w:r>
            <w:r w:rsidRPr="00CE0A9F">
              <w:rPr>
                <w:rFonts w:ascii="Arial" w:hAnsi="Arial" w:cs="Arial"/>
                <w:bCs/>
                <w:sz w:val="20"/>
                <w:szCs w:val="20"/>
              </w:rPr>
              <w:lastRenderedPageBreak/>
              <w:t>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5520DA39" w:rsidR="00997F82" w:rsidRPr="003F3414" w:rsidRDefault="00997F82" w:rsidP="00997F82">
      <w:pPr>
        <w:pStyle w:val="Default"/>
        <w:spacing w:before="120" w:after="120"/>
        <w:jc w:val="both"/>
      </w:pPr>
      <w:r w:rsidRPr="003F3414">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4476AFD8" w14:textId="77777777" w:rsidR="00933AE6" w:rsidRPr="003F3414" w:rsidRDefault="00933AE6" w:rsidP="00933AE6">
      <w:pPr>
        <w:tabs>
          <w:tab w:val="left" w:pos="426"/>
        </w:tabs>
        <w:spacing w:before="120" w:after="120" w:line="240" w:lineRule="auto"/>
        <w:jc w:val="both"/>
        <w:rPr>
          <w:rFonts w:ascii="Arial" w:hAnsi="Arial" w:cs="Arial"/>
          <w:sz w:val="20"/>
          <w:szCs w:val="20"/>
        </w:rPr>
      </w:pPr>
      <w:r w:rsidRPr="007D21D9">
        <w:rPr>
          <w:rFonts w:ascii="Arial" w:hAnsi="Arial" w:cs="Arial"/>
          <w:sz w:val="20"/>
          <w:szCs w:val="20"/>
        </w:rPr>
        <w:t>Naše Považie, Štefánikova 821, 020 01 Púchov</w:t>
      </w:r>
    </w:p>
    <w:p w14:paraId="7EB79171" w14:textId="4E20B244" w:rsidR="00997F82" w:rsidRPr="003F3414" w:rsidRDefault="00997F82" w:rsidP="00C04A44">
      <w:pPr>
        <w:tabs>
          <w:tab w:val="left" w:pos="426"/>
        </w:tabs>
        <w:spacing w:before="120" w:after="120" w:line="240" w:lineRule="auto"/>
        <w:jc w:val="both"/>
        <w:rPr>
          <w:rFonts w:ascii="Arial" w:hAnsi="Arial" w:cs="Arial"/>
          <w:sz w:val="20"/>
          <w:szCs w:val="20"/>
        </w:rPr>
      </w:pP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5373AD1E"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933AE6">
        <w:rPr>
          <w:rFonts w:ascii="Arial" w:hAnsi="Arial" w:cs="Arial"/>
          <w:sz w:val="20"/>
          <w:szCs w:val="20"/>
        </w:rPr>
        <w:t>pracovné dni od 7:00 do 15:30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67A641D9"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480036B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1" w:history="1">
        <w:r w:rsidR="009C6955" w:rsidRPr="00C832B5">
          <w:rPr>
            <w:rStyle w:val="Hypertextovprepojenie"/>
            <w:rFonts w:cs="Arial"/>
            <w:sz w:val="20"/>
          </w:rPr>
          <w:t>https://www.mpsr.sk/vzor-zmluvy-o-prispevok/1319-67-1319-15136/</w:t>
        </w:r>
      </w:hyperlink>
      <w:r w:rsidR="009C6955">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lastRenderedPageBreak/>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6AFEF45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9C6955" w:rsidRPr="009C6955">
        <w:rPr>
          <w:rFonts w:ascii="Arial" w:hAnsi="Arial" w:cs="Arial"/>
          <w:spacing w:val="-3"/>
          <w:sz w:val="20"/>
          <w:szCs w:val="20"/>
        </w:rPr>
        <w:t>https://nasepovazie.sk/sk/stranka/vyzva-irop-clld-t714-512-003</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60290660"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9C6955">
        <w:rPr>
          <w:rFonts w:ascii="Arial" w:hAnsi="Arial" w:cs="Arial"/>
          <w:spacing w:val="-3"/>
          <w:sz w:val="20"/>
          <w:szCs w:val="20"/>
        </w:rPr>
        <w:t xml:space="preserve"> nasepovazie@gmail.com</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lastRenderedPageBreak/>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2"/>
      <w:headerReference w:type="first" r:id="rId23"/>
      <w:footerReference w:type="first" r:id="rId24"/>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3660" w14:textId="77777777" w:rsidR="00486B34" w:rsidRDefault="00486B34" w:rsidP="00997F82">
      <w:pPr>
        <w:spacing w:after="0" w:line="240" w:lineRule="auto"/>
      </w:pPr>
      <w:r>
        <w:separator/>
      </w:r>
    </w:p>
  </w:endnote>
  <w:endnote w:type="continuationSeparator" w:id="0">
    <w:p w14:paraId="7F1A763E" w14:textId="77777777" w:rsidR="00486B34" w:rsidRDefault="00486B34"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26ACE441" w:rsidR="00B6341A" w:rsidRPr="000B630C" w:rsidRDefault="00B6341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D96957">
          <w:rPr>
            <w:rFonts w:ascii="Arial" w:hAnsi="Arial" w:cs="Arial"/>
            <w:noProof/>
            <w:sz w:val="20"/>
            <w:szCs w:val="20"/>
          </w:rPr>
          <w:t>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B6341A" w:rsidRDefault="00B6341A"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B6341A" w:rsidRDefault="00B634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4500" w14:textId="77777777" w:rsidR="00486B34" w:rsidRDefault="00486B34" w:rsidP="00997F82">
      <w:pPr>
        <w:spacing w:after="0" w:line="240" w:lineRule="auto"/>
      </w:pPr>
      <w:r>
        <w:separator/>
      </w:r>
    </w:p>
  </w:footnote>
  <w:footnote w:type="continuationSeparator" w:id="0">
    <w:p w14:paraId="082943C3" w14:textId="77777777" w:rsidR="00486B34" w:rsidRDefault="00486B34" w:rsidP="00997F82">
      <w:pPr>
        <w:spacing w:after="0" w:line="240" w:lineRule="auto"/>
      </w:pPr>
      <w:r>
        <w:continuationSeparator/>
      </w:r>
    </w:p>
  </w:footnote>
  <w:footnote w:id="1">
    <w:p w14:paraId="00A0BAF2" w14:textId="08ED93F2" w:rsidR="00B6341A" w:rsidRPr="00377989" w:rsidRDefault="00B6341A" w:rsidP="00AE11DC">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39E21627" w14:textId="2F4D7060" w:rsidR="00B6341A" w:rsidRPr="00726901" w:rsidRDefault="00B6341A"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B6341A" w:rsidRPr="00726901" w:rsidRDefault="00B6341A" w:rsidP="00726901">
      <w:pPr>
        <w:pStyle w:val="Textpoznmkypodiarou"/>
        <w:numPr>
          <w:ilvl w:val="0"/>
          <w:numId w:val="68"/>
        </w:numPr>
        <w:jc w:val="both"/>
      </w:pPr>
      <w:r>
        <w:t>f</w:t>
      </w:r>
      <w:r w:rsidRPr="00726901">
        <w:t>yzicky sa zrealizovali všetky Aktivity Projektu,</w:t>
      </w:r>
    </w:p>
    <w:p w14:paraId="5AC6E6E7" w14:textId="3186AE87" w:rsidR="00B6341A" w:rsidRDefault="00B6341A"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3">
    <w:p w14:paraId="75372597" w14:textId="58F7A4E1" w:rsidR="00B6341A" w:rsidRPr="003F3414" w:rsidRDefault="00B6341A"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079D9AC1" w:rsidR="00B6341A" w:rsidRPr="001F013A" w:rsidRDefault="00B6341A" w:rsidP="00DD3EE2">
    <w:pPr>
      <w:pStyle w:val="Hlavika"/>
      <w:rPr>
        <w:rFonts w:ascii="Arial Narrow" w:hAnsi="Arial Narrow"/>
        <w:sz w:val="20"/>
      </w:rPr>
    </w:pPr>
    <w:r w:rsidRPr="00D35D57">
      <w:rPr>
        <w:rFonts w:ascii="Arial Narrow" w:hAnsi="Arial Narrow"/>
        <w:noProof/>
        <w:sz w:val="20"/>
      </w:rPr>
      <w:drawing>
        <wp:anchor distT="0" distB="0" distL="114300" distR="114300" simplePos="0" relativeHeight="251667456" behindDoc="0" locked="0" layoutInCell="1" allowOverlap="1" wp14:anchorId="6059676E" wp14:editId="0EEC0A8A">
          <wp:simplePos x="0" y="0"/>
          <wp:positionH relativeFrom="margin">
            <wp:align>left</wp:align>
          </wp:positionH>
          <wp:positionV relativeFrom="paragraph">
            <wp:posOffset>-124460</wp:posOffset>
          </wp:positionV>
          <wp:extent cx="541020" cy="54102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44469BD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B6341A" w:rsidRDefault="00B6341A" w:rsidP="00DD3EE2">
    <w:pPr>
      <w:pStyle w:val="Hlavika"/>
    </w:pPr>
  </w:p>
  <w:p w14:paraId="25C2BAF4" w14:textId="116F9CC5" w:rsidR="00B6341A" w:rsidRPr="00FC401E" w:rsidRDefault="00B6341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3126"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249C7"/>
    <w:rsid w:val="00033565"/>
    <w:rsid w:val="0005684E"/>
    <w:rsid w:val="000569D6"/>
    <w:rsid w:val="00065CC5"/>
    <w:rsid w:val="00066F24"/>
    <w:rsid w:val="00067D27"/>
    <w:rsid w:val="00073702"/>
    <w:rsid w:val="0007610E"/>
    <w:rsid w:val="00081FA8"/>
    <w:rsid w:val="0008289A"/>
    <w:rsid w:val="000856E1"/>
    <w:rsid w:val="000907B7"/>
    <w:rsid w:val="000A1C65"/>
    <w:rsid w:val="000A52FB"/>
    <w:rsid w:val="000A64EF"/>
    <w:rsid w:val="000B19BE"/>
    <w:rsid w:val="000C25C2"/>
    <w:rsid w:val="000C367D"/>
    <w:rsid w:val="000C70A1"/>
    <w:rsid w:val="000D455B"/>
    <w:rsid w:val="000E1177"/>
    <w:rsid w:val="000E6FF9"/>
    <w:rsid w:val="000F221D"/>
    <w:rsid w:val="000F55AF"/>
    <w:rsid w:val="00111EE5"/>
    <w:rsid w:val="001122AC"/>
    <w:rsid w:val="00116361"/>
    <w:rsid w:val="00117483"/>
    <w:rsid w:val="00156B34"/>
    <w:rsid w:val="00156C68"/>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0D58"/>
    <w:rsid w:val="001D1A82"/>
    <w:rsid w:val="001D2251"/>
    <w:rsid w:val="001D5273"/>
    <w:rsid w:val="001E483A"/>
    <w:rsid w:val="001E7F00"/>
    <w:rsid w:val="001F4CCC"/>
    <w:rsid w:val="001F75B6"/>
    <w:rsid w:val="00200A91"/>
    <w:rsid w:val="00207E22"/>
    <w:rsid w:val="0021172D"/>
    <w:rsid w:val="00227859"/>
    <w:rsid w:val="002319F5"/>
    <w:rsid w:val="00236E5C"/>
    <w:rsid w:val="002450DB"/>
    <w:rsid w:val="00253953"/>
    <w:rsid w:val="00257130"/>
    <w:rsid w:val="002644F7"/>
    <w:rsid w:val="00274674"/>
    <w:rsid w:val="00283BA3"/>
    <w:rsid w:val="00286133"/>
    <w:rsid w:val="002C0F04"/>
    <w:rsid w:val="002C179C"/>
    <w:rsid w:val="002D1949"/>
    <w:rsid w:val="002E1ED1"/>
    <w:rsid w:val="002F3108"/>
    <w:rsid w:val="002F5D83"/>
    <w:rsid w:val="002F6656"/>
    <w:rsid w:val="00300E84"/>
    <w:rsid w:val="00305762"/>
    <w:rsid w:val="00310133"/>
    <w:rsid w:val="003154B9"/>
    <w:rsid w:val="00316374"/>
    <w:rsid w:val="003236C2"/>
    <w:rsid w:val="00325FC2"/>
    <w:rsid w:val="00330781"/>
    <w:rsid w:val="003357FD"/>
    <w:rsid w:val="003426E3"/>
    <w:rsid w:val="003531B1"/>
    <w:rsid w:val="0036248B"/>
    <w:rsid w:val="00364AFB"/>
    <w:rsid w:val="00374B3F"/>
    <w:rsid w:val="00375F69"/>
    <w:rsid w:val="00377989"/>
    <w:rsid w:val="003814F9"/>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1066E"/>
    <w:rsid w:val="004218C4"/>
    <w:rsid w:val="00421F08"/>
    <w:rsid w:val="004324AB"/>
    <w:rsid w:val="0044013E"/>
    <w:rsid w:val="00443977"/>
    <w:rsid w:val="004461E5"/>
    <w:rsid w:val="004530CF"/>
    <w:rsid w:val="00463F92"/>
    <w:rsid w:val="00465C96"/>
    <w:rsid w:val="00481344"/>
    <w:rsid w:val="0048669C"/>
    <w:rsid w:val="00486B34"/>
    <w:rsid w:val="004A16E0"/>
    <w:rsid w:val="004A2FB5"/>
    <w:rsid w:val="004A7113"/>
    <w:rsid w:val="004B5CAD"/>
    <w:rsid w:val="004B6729"/>
    <w:rsid w:val="004C09DA"/>
    <w:rsid w:val="004C4FA0"/>
    <w:rsid w:val="004D3199"/>
    <w:rsid w:val="004D750A"/>
    <w:rsid w:val="004D7D41"/>
    <w:rsid w:val="004E1022"/>
    <w:rsid w:val="004E156F"/>
    <w:rsid w:val="004E7718"/>
    <w:rsid w:val="004F2597"/>
    <w:rsid w:val="004F2ED1"/>
    <w:rsid w:val="004F7821"/>
    <w:rsid w:val="00506D83"/>
    <w:rsid w:val="00512D03"/>
    <w:rsid w:val="00515B27"/>
    <w:rsid w:val="00531A13"/>
    <w:rsid w:val="00531ECE"/>
    <w:rsid w:val="00535638"/>
    <w:rsid w:val="0053630A"/>
    <w:rsid w:val="00541A54"/>
    <w:rsid w:val="00543C90"/>
    <w:rsid w:val="005541EF"/>
    <w:rsid w:val="00556E68"/>
    <w:rsid w:val="005609FD"/>
    <w:rsid w:val="0056357B"/>
    <w:rsid w:val="005723CC"/>
    <w:rsid w:val="00573362"/>
    <w:rsid w:val="005760CC"/>
    <w:rsid w:val="00580427"/>
    <w:rsid w:val="00595B92"/>
    <w:rsid w:val="00597A23"/>
    <w:rsid w:val="005B2B01"/>
    <w:rsid w:val="005B3A2C"/>
    <w:rsid w:val="005C3D29"/>
    <w:rsid w:val="005C7DBB"/>
    <w:rsid w:val="005D4668"/>
    <w:rsid w:val="005E7202"/>
    <w:rsid w:val="005F0F78"/>
    <w:rsid w:val="00624778"/>
    <w:rsid w:val="0063182B"/>
    <w:rsid w:val="006359C9"/>
    <w:rsid w:val="00643184"/>
    <w:rsid w:val="0064727E"/>
    <w:rsid w:val="00661A23"/>
    <w:rsid w:val="006659AB"/>
    <w:rsid w:val="00671CC6"/>
    <w:rsid w:val="0068722F"/>
    <w:rsid w:val="00687273"/>
    <w:rsid w:val="00693C31"/>
    <w:rsid w:val="006941AD"/>
    <w:rsid w:val="00696061"/>
    <w:rsid w:val="006A048B"/>
    <w:rsid w:val="006A27D3"/>
    <w:rsid w:val="006A2B96"/>
    <w:rsid w:val="006A4060"/>
    <w:rsid w:val="006A62C0"/>
    <w:rsid w:val="006C54ED"/>
    <w:rsid w:val="006C7DF6"/>
    <w:rsid w:val="006D0AAF"/>
    <w:rsid w:val="006D29F3"/>
    <w:rsid w:val="006D2C8B"/>
    <w:rsid w:val="006E6056"/>
    <w:rsid w:val="006F333C"/>
    <w:rsid w:val="006F5281"/>
    <w:rsid w:val="00701A7A"/>
    <w:rsid w:val="00703EE0"/>
    <w:rsid w:val="00715270"/>
    <w:rsid w:val="00715D4A"/>
    <w:rsid w:val="00726901"/>
    <w:rsid w:val="00732429"/>
    <w:rsid w:val="00732918"/>
    <w:rsid w:val="00733FAA"/>
    <w:rsid w:val="007373E1"/>
    <w:rsid w:val="007418F9"/>
    <w:rsid w:val="007453AB"/>
    <w:rsid w:val="00754D3C"/>
    <w:rsid w:val="00762195"/>
    <w:rsid w:val="007710D0"/>
    <w:rsid w:val="00774C45"/>
    <w:rsid w:val="00780106"/>
    <w:rsid w:val="00780F81"/>
    <w:rsid w:val="00793F1C"/>
    <w:rsid w:val="0079571E"/>
    <w:rsid w:val="007A0A8D"/>
    <w:rsid w:val="007A24BB"/>
    <w:rsid w:val="007B5B99"/>
    <w:rsid w:val="007D1F0F"/>
    <w:rsid w:val="007D58CE"/>
    <w:rsid w:val="007E0409"/>
    <w:rsid w:val="007F0518"/>
    <w:rsid w:val="0080104A"/>
    <w:rsid w:val="008014D4"/>
    <w:rsid w:val="00802379"/>
    <w:rsid w:val="00803FFD"/>
    <w:rsid w:val="008215FF"/>
    <w:rsid w:val="00823509"/>
    <w:rsid w:val="00825667"/>
    <w:rsid w:val="0083548F"/>
    <w:rsid w:val="00843399"/>
    <w:rsid w:val="00843C6F"/>
    <w:rsid w:val="00850A43"/>
    <w:rsid w:val="00857902"/>
    <w:rsid w:val="008644F8"/>
    <w:rsid w:val="008657E3"/>
    <w:rsid w:val="00875F76"/>
    <w:rsid w:val="00882C9E"/>
    <w:rsid w:val="00890C26"/>
    <w:rsid w:val="008E4E7C"/>
    <w:rsid w:val="008F0E53"/>
    <w:rsid w:val="008F5F19"/>
    <w:rsid w:val="0090412C"/>
    <w:rsid w:val="00905190"/>
    <w:rsid w:val="009233A6"/>
    <w:rsid w:val="00933AE6"/>
    <w:rsid w:val="00937A8F"/>
    <w:rsid w:val="00946FAA"/>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C6955"/>
    <w:rsid w:val="009D7EA2"/>
    <w:rsid w:val="009E612F"/>
    <w:rsid w:val="00A10998"/>
    <w:rsid w:val="00A252BF"/>
    <w:rsid w:val="00A33E84"/>
    <w:rsid w:val="00A37E01"/>
    <w:rsid w:val="00A43135"/>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B07F9"/>
    <w:rsid w:val="00AC028F"/>
    <w:rsid w:val="00AC36A2"/>
    <w:rsid w:val="00AD1E6C"/>
    <w:rsid w:val="00AD4007"/>
    <w:rsid w:val="00AD7FDE"/>
    <w:rsid w:val="00AE11DC"/>
    <w:rsid w:val="00AE641C"/>
    <w:rsid w:val="00AE7EE1"/>
    <w:rsid w:val="00B10F27"/>
    <w:rsid w:val="00B12C25"/>
    <w:rsid w:val="00B12E40"/>
    <w:rsid w:val="00B26F6D"/>
    <w:rsid w:val="00B336CA"/>
    <w:rsid w:val="00B36BBA"/>
    <w:rsid w:val="00B43666"/>
    <w:rsid w:val="00B43B53"/>
    <w:rsid w:val="00B6341A"/>
    <w:rsid w:val="00B673F2"/>
    <w:rsid w:val="00B75121"/>
    <w:rsid w:val="00B768E9"/>
    <w:rsid w:val="00B830C6"/>
    <w:rsid w:val="00B8659A"/>
    <w:rsid w:val="00BB56CE"/>
    <w:rsid w:val="00BD7C47"/>
    <w:rsid w:val="00BD7FFD"/>
    <w:rsid w:val="00BF4539"/>
    <w:rsid w:val="00BF6C3A"/>
    <w:rsid w:val="00BF7457"/>
    <w:rsid w:val="00C04A44"/>
    <w:rsid w:val="00C05405"/>
    <w:rsid w:val="00C202B5"/>
    <w:rsid w:val="00C302E3"/>
    <w:rsid w:val="00C32AAB"/>
    <w:rsid w:val="00C473E6"/>
    <w:rsid w:val="00C544B0"/>
    <w:rsid w:val="00C6707F"/>
    <w:rsid w:val="00C70084"/>
    <w:rsid w:val="00C72A19"/>
    <w:rsid w:val="00C74CBB"/>
    <w:rsid w:val="00C94378"/>
    <w:rsid w:val="00CA18C8"/>
    <w:rsid w:val="00CB08D8"/>
    <w:rsid w:val="00CD33A6"/>
    <w:rsid w:val="00CD453C"/>
    <w:rsid w:val="00CF1AEB"/>
    <w:rsid w:val="00D002A1"/>
    <w:rsid w:val="00D05CF5"/>
    <w:rsid w:val="00D15307"/>
    <w:rsid w:val="00D54138"/>
    <w:rsid w:val="00D75D44"/>
    <w:rsid w:val="00D820A6"/>
    <w:rsid w:val="00D82CE8"/>
    <w:rsid w:val="00D83861"/>
    <w:rsid w:val="00D96957"/>
    <w:rsid w:val="00DA2DC3"/>
    <w:rsid w:val="00DA6B22"/>
    <w:rsid w:val="00DB2C62"/>
    <w:rsid w:val="00DB3F0F"/>
    <w:rsid w:val="00DD26C9"/>
    <w:rsid w:val="00DD3EE2"/>
    <w:rsid w:val="00DD6618"/>
    <w:rsid w:val="00DD6A61"/>
    <w:rsid w:val="00DD722D"/>
    <w:rsid w:val="00DE4354"/>
    <w:rsid w:val="00DF0742"/>
    <w:rsid w:val="00DF122D"/>
    <w:rsid w:val="00DF16ED"/>
    <w:rsid w:val="00E0368D"/>
    <w:rsid w:val="00E101C8"/>
    <w:rsid w:val="00E14E91"/>
    <w:rsid w:val="00E25742"/>
    <w:rsid w:val="00E30379"/>
    <w:rsid w:val="00E30D9E"/>
    <w:rsid w:val="00E44198"/>
    <w:rsid w:val="00E54587"/>
    <w:rsid w:val="00E60334"/>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23F27"/>
    <w:rsid w:val="00F27CCE"/>
    <w:rsid w:val="00F30DAB"/>
    <w:rsid w:val="00F34153"/>
    <w:rsid w:val="00F413B2"/>
    <w:rsid w:val="00F43666"/>
    <w:rsid w:val="00F5202D"/>
    <w:rsid w:val="00F5454F"/>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D07A2"/>
    <w:rsid w:val="00FD76F1"/>
    <w:rsid w:val="00FF15E0"/>
    <w:rsid w:val="00FF6C9B"/>
    <w:rsid w:val="00FF72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9C6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epovazie.sk/sk/stranka/-vyzvy-na-predkladanie-zopr-pre-cast-irop-2014---2020" TargetMode="External"/><Relationship Id="rId13" Type="http://schemas.openxmlformats.org/officeDocument/2006/relationships/hyperlink" Target="http://www.mpsr.sk/index.php?navID=1121&amp;navID2=1121&amp;sID=67&amp;id=10956"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mpsr.sk/vzor-zmluvy-o-prispevok/1319-67-1319-15136/" TargetMode="External"/><Relationship Id="rId7" Type="http://schemas.openxmlformats.org/officeDocument/2006/relationships/endnotes" Target="endnotes.xml"/><Relationship Id="rId12" Type="http://schemas.openxmlformats.org/officeDocument/2006/relationships/hyperlink" Target="https://www.crz.gov.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gisteruz.sk" TargetMode="External"/><Relationship Id="rId20" Type="http://schemas.openxmlformats.org/officeDocument/2006/relationships/hyperlink" Target="http://www.katasterportal.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psr.sk/index.php?navID=1121&amp;navID2=1121&amp;sID=67&amp;id=10956" TargetMode="External"/><Relationship Id="rId23" Type="http://schemas.openxmlformats.org/officeDocument/2006/relationships/header" Target="header1.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ip.gov.sk/app/registerNZ/"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D0D6F"/>
    <w:rsid w:val="000E2AB8"/>
    <w:rsid w:val="000F3F00"/>
    <w:rsid w:val="001B2475"/>
    <w:rsid w:val="00237B1B"/>
    <w:rsid w:val="00261F37"/>
    <w:rsid w:val="002640AA"/>
    <w:rsid w:val="00301556"/>
    <w:rsid w:val="00331CE2"/>
    <w:rsid w:val="003706C2"/>
    <w:rsid w:val="00375A98"/>
    <w:rsid w:val="003C5B56"/>
    <w:rsid w:val="003F03A5"/>
    <w:rsid w:val="00424257"/>
    <w:rsid w:val="00436420"/>
    <w:rsid w:val="004B348D"/>
    <w:rsid w:val="004C5215"/>
    <w:rsid w:val="004E2BCA"/>
    <w:rsid w:val="004F2CDE"/>
    <w:rsid w:val="00504897"/>
    <w:rsid w:val="00540F5F"/>
    <w:rsid w:val="00560FCD"/>
    <w:rsid w:val="00562C21"/>
    <w:rsid w:val="005728CB"/>
    <w:rsid w:val="005861B1"/>
    <w:rsid w:val="005E0EF8"/>
    <w:rsid w:val="0061653F"/>
    <w:rsid w:val="00657BCF"/>
    <w:rsid w:val="006E5343"/>
    <w:rsid w:val="007615B7"/>
    <w:rsid w:val="007B551C"/>
    <w:rsid w:val="007B5FBC"/>
    <w:rsid w:val="00825069"/>
    <w:rsid w:val="008C3DC5"/>
    <w:rsid w:val="00924C55"/>
    <w:rsid w:val="00956837"/>
    <w:rsid w:val="009617A1"/>
    <w:rsid w:val="009B7CB8"/>
    <w:rsid w:val="009C3B1A"/>
    <w:rsid w:val="009F42EF"/>
    <w:rsid w:val="00A21FAA"/>
    <w:rsid w:val="00A30B05"/>
    <w:rsid w:val="00A46377"/>
    <w:rsid w:val="00AC04BF"/>
    <w:rsid w:val="00AD1AB6"/>
    <w:rsid w:val="00AD6AB3"/>
    <w:rsid w:val="00AE1C22"/>
    <w:rsid w:val="00AE7BE2"/>
    <w:rsid w:val="00AF1F57"/>
    <w:rsid w:val="00B05E4E"/>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664C8"/>
    <w:rsid w:val="00DC30EC"/>
    <w:rsid w:val="00DD0724"/>
    <w:rsid w:val="00DE183C"/>
    <w:rsid w:val="00DE1FED"/>
    <w:rsid w:val="00E066CF"/>
    <w:rsid w:val="00E0700A"/>
    <w:rsid w:val="00E103FF"/>
    <w:rsid w:val="00E3109A"/>
    <w:rsid w:val="00E42414"/>
    <w:rsid w:val="00E50248"/>
    <w:rsid w:val="00E57DA5"/>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60006-B3F8-4AAF-8028-688D1FB3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12861</Words>
  <Characters>73310</Characters>
  <Application>Microsoft Office Word</Application>
  <DocSecurity>0</DocSecurity>
  <Lines>610</Lines>
  <Paragraphs>171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2022-01-10T11:16:00Z</dcterms:created>
  <dcterms:modified xsi:type="dcterms:W3CDTF">2022-01-25T12:15:00Z</dcterms:modified>
</cp:coreProperties>
</file>