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footerReference w:type="default" r:id="rId8"/>
          <w:headerReference w:type="first" r:id="rId9"/>
          <w:footerReference w:type="first" r:id="rId10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9072"/>
      </w:tblGrid>
      <w:tr w:rsidR="00856D01" w:rsidRPr="009B0208" w14:paraId="3611E7E6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3BB5A490" w:rsidR="00856D01" w:rsidRPr="009B0208" w:rsidRDefault="00937035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</w:rPr>
              <w:lastRenderedPageBreak/>
              <w:br w:type="page"/>
            </w:r>
            <w:r w:rsidR="00856D01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vyhradenie jazdných pruhov pre cyklistov,</w:t>
            </w:r>
          </w:p>
          <w:p w14:paraId="5FAAE04D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• Investície do doplnkovej infraštruktúry -  chránené parkoviská pre bicykle,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 odpočívadlá,</w:t>
            </w:r>
          </w:p>
          <w:p w14:paraId="396BE0C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systémy automatickej požičovne bicyklov, hygienické zariadenia</w:t>
            </w:r>
          </w:p>
        </w:tc>
      </w:tr>
      <w:tr w:rsidR="00856D01" w:rsidRPr="009B0208" w14:paraId="470FCD2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B334B" w:rsidRPr="009B0208" w14:paraId="61E0A355" w14:textId="77777777" w:rsidTr="008B334B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907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AD4AF87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nabíjacie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softvér pre riadenie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4FFEDDCB" w14:textId="7BEEF107" w:rsidR="00856D01" w:rsidRPr="009B0208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nabíjacie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pre softvér na riadenie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11A8E08C" w14:textId="77777777" w:rsidR="005A67D1" w:rsidRPr="009B0208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520D4737" w:rsidR="005A67D1" w:rsidRPr="009B0208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5056D8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cyklistických komunikácií,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(samostatná cyklistická cestička, samostatný cyklistický pruh,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spoločná cestička pre chodcov a cyklistov),</w:t>
            </w:r>
          </w:p>
          <w:p w14:paraId="715A19A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doplnkovej cyklistickej infraštruktúry (chránené parkoviská pre bicykle (kryté stojany, automatické parkovacie systémy, a pod.),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(ako zabudované stroje, prístroje a zariadenia, ktoré sú súčasťou stavby), hygienické zariadenia, cyklistické odpočívadlo a pod.),</w:t>
            </w:r>
          </w:p>
          <w:p w14:paraId="2896B96B" w14:textId="1A84CDA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cyklistickej komunikácie (schodiskové žliabky, osvetlenie,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 zelene,</w:t>
            </w:r>
          </w:p>
        </w:tc>
      </w:tr>
      <w:tr w:rsidR="00856D01" w:rsidRPr="009B0208" w14:paraId="645A9E3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6407F2C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FF8E8F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prevádzkové a špeciálne stroje, prístroje, zariadenia, technika a náradie (napr. nabíjacia stanica), </w:t>
            </w:r>
          </w:p>
          <w:p w14:paraId="2B0E72E6" w14:textId="212C17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01E26907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5BA2ED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00FCD70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4387316C" w14:textId="77777777" w:rsidTr="00E649C9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kolobežky – nemotorové vozidlá pohybujúce sa pomocou ľudskej sily nožným odrážaním, ktoré sú ovládané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kolobežkárom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pomocou riadidiel tak, že sedí na sedadle kolobežky alebo stojí a drží sa riadidiel,</w:t>
            </w:r>
          </w:p>
          <w:p w14:paraId="3CC743F7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s pomocným motorčekom – kolobežky, pričom na pohon okrem ľudskej sily slúži aj pomocný motorček,</w:t>
            </w:r>
          </w:p>
        </w:tc>
      </w:tr>
    </w:tbl>
    <w:p w14:paraId="45BDE793" w14:textId="0C65E4FD" w:rsidR="00856D01" w:rsidRPr="009B0208" w:rsidRDefault="00856D01" w:rsidP="004B5802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headerReference w:type="first" r:id="rId11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6B83" w14:textId="77777777" w:rsidR="000135B4" w:rsidRDefault="000135B4" w:rsidP="007900C1">
      <w:r>
        <w:separator/>
      </w:r>
    </w:p>
  </w:endnote>
  <w:endnote w:type="continuationSeparator" w:id="0">
    <w:p w14:paraId="7C2D1020" w14:textId="77777777" w:rsidR="000135B4" w:rsidRDefault="000135B4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F8FE" w14:textId="77777777" w:rsidR="00F26D71" w:rsidRDefault="00F26D71" w:rsidP="00F26D7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A900EBD" wp14:editId="1392487F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328E01" id="Rovná spojnica 1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43590E8D" w14:textId="77777777" w:rsidR="00F26D71" w:rsidRPr="00125428" w:rsidRDefault="00F26D71" w:rsidP="00F26D7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816759789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305A212B" w14:textId="77777777" w:rsidR="0070739C" w:rsidRDefault="0070739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2623C" w14:textId="77777777" w:rsidR="00F26D71" w:rsidRDefault="00F26D71" w:rsidP="00F26D7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D256AED" wp14:editId="2F83D719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6DCBC0" id="Rovná spojnica 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109F5FA8" w14:textId="77777777" w:rsidR="00F26D71" w:rsidRPr="00125428" w:rsidRDefault="00F26D71" w:rsidP="00F26D7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1416054441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3A5A28E9" w14:textId="77777777" w:rsidR="0070739C" w:rsidRDefault="0070739C" w:rsidP="00F26D71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F36D0" w14:textId="77777777" w:rsidR="000135B4" w:rsidRDefault="000135B4" w:rsidP="007900C1">
      <w:r>
        <w:separator/>
      </w:r>
    </w:p>
  </w:footnote>
  <w:footnote w:type="continuationSeparator" w:id="0">
    <w:p w14:paraId="2E9EED6F" w14:textId="77777777" w:rsidR="000135B4" w:rsidRDefault="000135B4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3A0409EA" w:rsidR="00DB2968" w:rsidRDefault="0070739C" w:rsidP="00A03043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6672" behindDoc="1" locked="0" layoutInCell="1" allowOverlap="1" wp14:anchorId="47FD2DC0" wp14:editId="0045A53F">
          <wp:simplePos x="0" y="0"/>
          <wp:positionH relativeFrom="column">
            <wp:posOffset>357505</wp:posOffset>
          </wp:positionH>
          <wp:positionV relativeFrom="paragraph">
            <wp:posOffset>-142875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27" name="Obrázo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6B1936DF">
          <wp:simplePos x="0" y="0"/>
          <wp:positionH relativeFrom="column">
            <wp:posOffset>1558925</wp:posOffset>
          </wp:positionH>
          <wp:positionV relativeFrom="paragraph">
            <wp:posOffset>-82550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566F80D8">
          <wp:simplePos x="0" y="0"/>
          <wp:positionH relativeFrom="column">
            <wp:posOffset>3486150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9" name="Obrázok 29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135B4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E6FA5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368D"/>
    <w:rsid w:val="003A78DE"/>
    <w:rsid w:val="003B2412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7711B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39C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37E46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26D71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7F32-F34E-4E7C-A23C-4782C023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2022-01-10T11:23:00Z</dcterms:created>
  <dcterms:modified xsi:type="dcterms:W3CDTF">2022-01-24T10:36:00Z</dcterms:modified>
</cp:coreProperties>
</file>